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3</w:t>
      </w:r>
      <w:r>
        <w:rPr>
          <w:rFonts w:hint="eastAsia" w:ascii="楷体" w:hAnsi="楷体" w:eastAsia="楷体"/>
          <w:b/>
          <w:sz w:val="52"/>
          <w:szCs w:val="52"/>
        </w:rPr>
        <w:t>年部门预算</w:t>
      </w:r>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年部门预算公开表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部门收入总表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w:t>
      </w:r>
      <w:bookmarkStart w:id="0" w:name="_GoBack"/>
      <w:bookmarkEnd w:id="0"/>
      <w:r>
        <w:rPr>
          <w:rFonts w:hint="eastAsia" w:ascii="仿宋_GB2312" w:hAnsi="黑体" w:eastAsia="仿宋_GB2312"/>
          <w:sz w:val="32"/>
          <w:szCs w:val="32"/>
        </w:rPr>
        <w:t>情况对比表</w:t>
      </w:r>
    </w:p>
    <w:p>
      <w:pPr>
        <w:rPr>
          <w:rFonts w:hint="eastAsia" w:ascii="仿宋_GB2312" w:hAnsi="黑体" w:eastAsia="仿宋_GB2312"/>
          <w:sz w:val="32"/>
          <w:szCs w:val="32"/>
        </w:rPr>
      </w:pPr>
      <w:r>
        <w:rPr>
          <w:rFonts w:hint="eastAsia" w:ascii="仿宋_GB2312" w:hAnsi="黑体" w:eastAsia="仿宋_GB2312"/>
          <w:sz w:val="32"/>
          <w:szCs w:val="32"/>
        </w:rPr>
        <w:t>表10 部门预算项目支出表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年部门预算情况说明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负责区域内规划、建设、交通、市政市容、环境保护等工作。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宋体" w:hAnsi="宋体"/>
          <w:b/>
          <w:sz w:val="36"/>
          <w:szCs w:val="36"/>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为中国（辽宁）自由贸易试验区沈阳片区管理委员会本级</w:t>
      </w:r>
      <w:r>
        <w:rPr>
          <w:rFonts w:hint="eastAsia" w:ascii="仿宋_GB2312" w:eastAsia="仿宋_GB2312"/>
          <w:b/>
          <w:sz w:val="32"/>
          <w:szCs w:val="32"/>
          <w:lang w:eastAsia="zh-CN"/>
        </w:rPr>
        <w:t>。</w:t>
      </w: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3</w:t>
      </w:r>
      <w:r>
        <w:rPr>
          <w:rFonts w:hint="eastAsia" w:ascii="宋体" w:hAnsi="宋体"/>
          <w:b/>
          <w:sz w:val="36"/>
          <w:szCs w:val="36"/>
        </w:rPr>
        <w:t>年部门预算公开表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3</w:t>
      </w:r>
      <w:r>
        <w:rPr>
          <w:rFonts w:hint="eastAsia" w:ascii="宋体" w:hAnsi="宋体"/>
          <w:b/>
          <w:sz w:val="36"/>
          <w:szCs w:val="36"/>
        </w:rPr>
        <w:t>年部门预算情况说明</w:t>
      </w: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3</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3</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2</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2023年无公务接待安排。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1308.87</w:t>
      </w:r>
      <w:r>
        <w:rPr>
          <w:rFonts w:hint="eastAsia" w:ascii="仿宋_GB2312" w:hAnsi="宋体" w:eastAsia="仿宋_GB2312"/>
          <w:sz w:val="32"/>
          <w:szCs w:val="32"/>
        </w:rPr>
        <w:t>万元，比20</w:t>
      </w:r>
      <w:r>
        <w:rPr>
          <w:rFonts w:hint="eastAsia" w:ascii="仿宋_GB2312" w:hAnsi="宋体" w:eastAsia="仿宋_GB2312"/>
          <w:sz w:val="32"/>
          <w:szCs w:val="32"/>
          <w:lang w:val="en-US" w:eastAsia="zh-CN"/>
        </w:rPr>
        <w:t>22</w:t>
      </w:r>
      <w:r>
        <w:rPr>
          <w:rFonts w:hint="eastAsia" w:ascii="仿宋_GB2312" w:hAnsi="宋体" w:eastAsia="仿宋_GB2312"/>
          <w:sz w:val="32"/>
          <w:szCs w:val="32"/>
        </w:rPr>
        <w:t>年预算</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117.65</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主要是在</w:t>
      </w:r>
      <w:r>
        <w:rPr>
          <w:rFonts w:hint="eastAsia" w:ascii="仿宋_GB2312" w:hAnsi="宋体" w:eastAsia="仿宋_GB2312"/>
          <w:sz w:val="32"/>
          <w:szCs w:val="32"/>
          <w:lang w:val="en-US" w:eastAsia="zh-CN"/>
        </w:rPr>
        <w:t>压缩非急需非刚性支出同时调整养老保险金及增加人员。</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486</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486</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2022</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3,084.21</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D02DC8"/>
    <w:rsid w:val="013F2C34"/>
    <w:rsid w:val="015C7D2F"/>
    <w:rsid w:val="0183525A"/>
    <w:rsid w:val="01976746"/>
    <w:rsid w:val="01F003FD"/>
    <w:rsid w:val="03433ADE"/>
    <w:rsid w:val="04D46D9F"/>
    <w:rsid w:val="06847DC5"/>
    <w:rsid w:val="06FD49AE"/>
    <w:rsid w:val="085754E3"/>
    <w:rsid w:val="08CE61D9"/>
    <w:rsid w:val="09AE5EAD"/>
    <w:rsid w:val="0A4707F9"/>
    <w:rsid w:val="0AF76C24"/>
    <w:rsid w:val="0B274F9F"/>
    <w:rsid w:val="0B76114B"/>
    <w:rsid w:val="0C9D1A87"/>
    <w:rsid w:val="0DE3026C"/>
    <w:rsid w:val="0E680A59"/>
    <w:rsid w:val="0F0003FC"/>
    <w:rsid w:val="12011655"/>
    <w:rsid w:val="13BF7CD7"/>
    <w:rsid w:val="154A23A7"/>
    <w:rsid w:val="15A45D6A"/>
    <w:rsid w:val="16672BB5"/>
    <w:rsid w:val="16D65936"/>
    <w:rsid w:val="1B2312DE"/>
    <w:rsid w:val="1D9E1A8E"/>
    <w:rsid w:val="1F055876"/>
    <w:rsid w:val="1F794145"/>
    <w:rsid w:val="1F9D71BE"/>
    <w:rsid w:val="229A5C89"/>
    <w:rsid w:val="22F2423D"/>
    <w:rsid w:val="2459407D"/>
    <w:rsid w:val="24784DA3"/>
    <w:rsid w:val="250E77B6"/>
    <w:rsid w:val="251E250A"/>
    <w:rsid w:val="258B5F50"/>
    <w:rsid w:val="27576AAE"/>
    <w:rsid w:val="27E83FB3"/>
    <w:rsid w:val="28065115"/>
    <w:rsid w:val="29524967"/>
    <w:rsid w:val="2B8E1859"/>
    <w:rsid w:val="2D257C58"/>
    <w:rsid w:val="2E9600A9"/>
    <w:rsid w:val="2EFF2618"/>
    <w:rsid w:val="32465EFE"/>
    <w:rsid w:val="324B4201"/>
    <w:rsid w:val="324B799F"/>
    <w:rsid w:val="32B54201"/>
    <w:rsid w:val="34D35EE0"/>
    <w:rsid w:val="34EB5416"/>
    <w:rsid w:val="36074868"/>
    <w:rsid w:val="37314A04"/>
    <w:rsid w:val="38873E35"/>
    <w:rsid w:val="3A4229C1"/>
    <w:rsid w:val="3A681814"/>
    <w:rsid w:val="3B423246"/>
    <w:rsid w:val="3DDC0ACE"/>
    <w:rsid w:val="40110E46"/>
    <w:rsid w:val="44EE2F42"/>
    <w:rsid w:val="45445708"/>
    <w:rsid w:val="47325D23"/>
    <w:rsid w:val="491C5BA3"/>
    <w:rsid w:val="4C425BC5"/>
    <w:rsid w:val="4EEB589A"/>
    <w:rsid w:val="50D805C4"/>
    <w:rsid w:val="517156C0"/>
    <w:rsid w:val="51C651A4"/>
    <w:rsid w:val="55106D66"/>
    <w:rsid w:val="55882026"/>
    <w:rsid w:val="56AA4D70"/>
    <w:rsid w:val="570A0E6E"/>
    <w:rsid w:val="5710636E"/>
    <w:rsid w:val="57CB2DDE"/>
    <w:rsid w:val="58B50DDB"/>
    <w:rsid w:val="58EE78DD"/>
    <w:rsid w:val="5B7736D6"/>
    <w:rsid w:val="5C583803"/>
    <w:rsid w:val="5D3270CE"/>
    <w:rsid w:val="5DE643B5"/>
    <w:rsid w:val="5F495FC9"/>
    <w:rsid w:val="60624F02"/>
    <w:rsid w:val="60E56B28"/>
    <w:rsid w:val="62D94E60"/>
    <w:rsid w:val="64926C6D"/>
    <w:rsid w:val="64927D5A"/>
    <w:rsid w:val="65FC67BC"/>
    <w:rsid w:val="67435625"/>
    <w:rsid w:val="69EE087A"/>
    <w:rsid w:val="6A4F4109"/>
    <w:rsid w:val="6A976E46"/>
    <w:rsid w:val="6B211496"/>
    <w:rsid w:val="6B7A4A6E"/>
    <w:rsid w:val="6B81332C"/>
    <w:rsid w:val="6ECA6597"/>
    <w:rsid w:val="714114DB"/>
    <w:rsid w:val="71AB0640"/>
    <w:rsid w:val="74167707"/>
    <w:rsid w:val="74F1400C"/>
    <w:rsid w:val="786830B7"/>
    <w:rsid w:val="78A016C4"/>
    <w:rsid w:val="78DD5ABB"/>
    <w:rsid w:val="78EA143F"/>
    <w:rsid w:val="7CEF5092"/>
    <w:rsid w:val="7DE31441"/>
    <w:rsid w:val="7E192895"/>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2774</Words>
  <Characters>2885</Characters>
  <Lines>0</Lines>
  <Paragraphs>0</Paragraphs>
  <TotalTime>39</TotalTime>
  <ScaleCrop>false</ScaleCrop>
  <LinksUpToDate>false</LinksUpToDate>
  <CharactersWithSpaces>2931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2023-01-09T00:41:00Z</cp:lastPrinted>
  <dcterms:modified xsi:type="dcterms:W3CDTF">2025-09-23T02:20:13Z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322D91ED8A124D07920C611DFD195FF4</vt:lpwstr>
  </property>
</Properties>
</file>