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C838F">
      <w:pPr>
        <w:jc w:val="center"/>
        <w:rPr>
          <w:b/>
          <w:sz w:val="44"/>
          <w:szCs w:val="44"/>
          <w:u w:val="single"/>
        </w:rPr>
      </w:pPr>
    </w:p>
    <w:p w14:paraId="4645BB8B">
      <w:pPr>
        <w:jc w:val="center"/>
        <w:rPr>
          <w:b/>
          <w:sz w:val="44"/>
          <w:szCs w:val="44"/>
          <w:u w:val="single"/>
        </w:rPr>
      </w:pPr>
    </w:p>
    <w:p w14:paraId="01DBFB13">
      <w:pPr>
        <w:jc w:val="center"/>
        <w:rPr>
          <w:b/>
          <w:sz w:val="44"/>
          <w:szCs w:val="44"/>
          <w:u w:val="single"/>
        </w:rPr>
      </w:pPr>
    </w:p>
    <w:p w14:paraId="5684ACFA">
      <w:pPr>
        <w:jc w:val="center"/>
        <w:rPr>
          <w:b/>
          <w:sz w:val="44"/>
          <w:szCs w:val="44"/>
          <w:u w:val="single"/>
        </w:rPr>
      </w:pPr>
    </w:p>
    <w:p w14:paraId="69E6FABB">
      <w:pPr>
        <w:rPr>
          <w:rFonts w:ascii="楷体" w:hAnsi="楷体" w:eastAsia="楷体"/>
          <w:b/>
          <w:sz w:val="52"/>
          <w:szCs w:val="52"/>
        </w:rPr>
      </w:pPr>
    </w:p>
    <w:p w14:paraId="7D14E886">
      <w:pPr>
        <w:jc w:val="center"/>
        <w:rPr>
          <w:rFonts w:ascii="楷体" w:hAnsi="楷体" w:eastAsia="楷体"/>
          <w:b/>
          <w:sz w:val="48"/>
          <w:szCs w:val="48"/>
        </w:rPr>
      </w:pPr>
      <w:r>
        <w:rPr>
          <w:rFonts w:hint="eastAsia" w:ascii="楷体" w:hAnsi="楷体" w:eastAsia="楷体"/>
          <w:b/>
          <w:sz w:val="48"/>
          <w:szCs w:val="48"/>
        </w:rPr>
        <w:t>沈阳综合保税区桃仙管理委员会</w:t>
      </w:r>
    </w:p>
    <w:p w14:paraId="40B8157B">
      <w:pPr>
        <w:jc w:val="center"/>
        <w:rPr>
          <w:rFonts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4</w:t>
      </w:r>
      <w:r>
        <w:rPr>
          <w:rFonts w:hint="eastAsia" w:ascii="楷体" w:hAnsi="楷体" w:eastAsia="楷体"/>
          <w:b/>
          <w:sz w:val="52"/>
          <w:szCs w:val="52"/>
        </w:rPr>
        <w:t>年</w:t>
      </w:r>
      <w:r>
        <w:rPr>
          <w:rFonts w:hint="eastAsia" w:ascii="楷体" w:hAnsi="楷体" w:eastAsia="楷体"/>
          <w:b/>
          <w:sz w:val="52"/>
          <w:szCs w:val="52"/>
          <w:lang w:eastAsia="zh-CN"/>
        </w:rPr>
        <w:t>单位</w:t>
      </w:r>
      <w:r>
        <w:rPr>
          <w:rFonts w:hint="eastAsia" w:ascii="楷体" w:hAnsi="楷体" w:eastAsia="楷体"/>
          <w:b/>
          <w:sz w:val="52"/>
          <w:szCs w:val="52"/>
        </w:rPr>
        <w:t>预算</w:t>
      </w:r>
    </w:p>
    <w:p w14:paraId="15BC3C15">
      <w:pPr>
        <w:jc w:val="center"/>
        <w:rPr>
          <w:rFonts w:ascii="楷体" w:hAnsi="楷体" w:eastAsia="楷体"/>
          <w:b/>
          <w:sz w:val="52"/>
          <w:szCs w:val="52"/>
        </w:rPr>
      </w:pPr>
      <w:r>
        <w:rPr>
          <w:rFonts w:hint="eastAsia" w:ascii="楷体" w:hAnsi="楷体" w:eastAsia="楷体"/>
          <w:b/>
          <w:sz w:val="52"/>
          <w:szCs w:val="52"/>
        </w:rPr>
        <w:t>（含“三公”经费预算）</w:t>
      </w:r>
    </w:p>
    <w:p w14:paraId="47FA8658">
      <w:pPr>
        <w:jc w:val="center"/>
        <w:rPr>
          <w:rFonts w:ascii="楷体" w:hAnsi="楷体" w:eastAsia="楷体"/>
          <w:b/>
          <w:sz w:val="52"/>
          <w:szCs w:val="52"/>
        </w:rPr>
      </w:pPr>
    </w:p>
    <w:p w14:paraId="346C4BAB">
      <w:pPr>
        <w:jc w:val="center"/>
        <w:rPr>
          <w:rFonts w:ascii="黑体" w:hAnsi="楷体" w:eastAsia="黑体"/>
          <w:b/>
          <w:sz w:val="52"/>
          <w:szCs w:val="52"/>
        </w:rPr>
      </w:pPr>
    </w:p>
    <w:p w14:paraId="2AC17FFD">
      <w:pPr>
        <w:jc w:val="center"/>
        <w:rPr>
          <w:b/>
          <w:sz w:val="44"/>
          <w:szCs w:val="44"/>
          <w:u w:val="single"/>
        </w:rPr>
      </w:pPr>
    </w:p>
    <w:p w14:paraId="43A60F18">
      <w:pPr>
        <w:jc w:val="center"/>
        <w:rPr>
          <w:b/>
          <w:sz w:val="44"/>
          <w:szCs w:val="44"/>
          <w:u w:val="single"/>
        </w:rPr>
      </w:pPr>
    </w:p>
    <w:p w14:paraId="455FE8EE">
      <w:pPr>
        <w:jc w:val="center"/>
        <w:rPr>
          <w:b/>
          <w:sz w:val="44"/>
          <w:szCs w:val="44"/>
          <w:u w:val="single"/>
        </w:rPr>
      </w:pPr>
    </w:p>
    <w:p w14:paraId="0EE8BA68">
      <w:pPr>
        <w:jc w:val="center"/>
        <w:rPr>
          <w:b/>
          <w:sz w:val="44"/>
          <w:szCs w:val="44"/>
          <w:u w:val="single"/>
        </w:rPr>
      </w:pPr>
    </w:p>
    <w:p w14:paraId="168FCACD">
      <w:pPr>
        <w:jc w:val="center"/>
        <w:rPr>
          <w:b/>
          <w:sz w:val="44"/>
          <w:szCs w:val="44"/>
          <w:u w:val="single"/>
        </w:rPr>
      </w:pPr>
    </w:p>
    <w:p w14:paraId="15B54B7A">
      <w:pPr>
        <w:jc w:val="center"/>
        <w:rPr>
          <w:b/>
          <w:sz w:val="44"/>
          <w:szCs w:val="44"/>
          <w:u w:val="single"/>
        </w:rPr>
      </w:pPr>
    </w:p>
    <w:p w14:paraId="7295587B">
      <w:pPr>
        <w:jc w:val="center"/>
        <w:rPr>
          <w:b/>
          <w:sz w:val="44"/>
          <w:szCs w:val="44"/>
          <w:u w:val="single"/>
        </w:rPr>
      </w:pPr>
    </w:p>
    <w:p w14:paraId="7904F680">
      <w:pPr>
        <w:jc w:val="center"/>
        <w:rPr>
          <w:b/>
          <w:sz w:val="44"/>
          <w:szCs w:val="44"/>
          <w:u w:val="single"/>
        </w:rPr>
      </w:pPr>
    </w:p>
    <w:p w14:paraId="140813BF">
      <w:pPr>
        <w:rPr>
          <w:b/>
          <w:sz w:val="44"/>
          <w:szCs w:val="44"/>
        </w:rPr>
      </w:pPr>
    </w:p>
    <w:p w14:paraId="062A567B">
      <w:pPr>
        <w:jc w:val="center"/>
        <w:rPr>
          <w:b/>
          <w:sz w:val="44"/>
          <w:szCs w:val="44"/>
        </w:rPr>
      </w:pPr>
      <w:r>
        <w:rPr>
          <w:rFonts w:hint="eastAsia"/>
          <w:b/>
          <w:sz w:val="44"/>
          <w:szCs w:val="44"/>
        </w:rPr>
        <w:t>目    录</w:t>
      </w:r>
    </w:p>
    <w:p w14:paraId="01004C1B">
      <w:pPr>
        <w:rPr>
          <w:b/>
          <w:sz w:val="44"/>
          <w:szCs w:val="44"/>
          <w:u w:val="single"/>
        </w:rPr>
      </w:pPr>
    </w:p>
    <w:p w14:paraId="0C44C78F">
      <w:pPr>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cs="黑体"/>
          <w:sz w:val="32"/>
          <w:szCs w:val="32"/>
        </w:rPr>
        <w:t>沈阳综合保税区桃仙管理委员会</w:t>
      </w:r>
      <w:r>
        <w:rPr>
          <w:rFonts w:hint="eastAsia" w:ascii="黑体" w:hAnsi="黑体" w:eastAsia="黑体"/>
          <w:sz w:val="32"/>
          <w:szCs w:val="32"/>
        </w:rPr>
        <w:t>概况</w:t>
      </w:r>
    </w:p>
    <w:p w14:paraId="478CABCC">
      <w:pPr>
        <w:numPr>
          <w:ilvl w:val="0"/>
          <w:numId w:val="1"/>
        </w:numPr>
        <w:rPr>
          <w:rFonts w:ascii="仿宋_GB2312" w:hAnsi="黑体" w:eastAsia="仿宋_GB2312"/>
          <w:sz w:val="32"/>
          <w:szCs w:val="32"/>
        </w:rPr>
      </w:pPr>
      <w:r>
        <w:rPr>
          <w:rFonts w:hint="eastAsia" w:ascii="仿宋_GB2312" w:hAnsi="黑体" w:eastAsia="仿宋_GB2312"/>
          <w:sz w:val="32"/>
          <w:szCs w:val="32"/>
        </w:rPr>
        <w:t>主要职责</w:t>
      </w:r>
    </w:p>
    <w:p w14:paraId="1AA6187D">
      <w:pPr>
        <w:numPr>
          <w:ilvl w:val="0"/>
          <w:numId w:val="1"/>
        </w:numPr>
        <w:rPr>
          <w:rFonts w:ascii="仿宋_GB2312" w:hAnsi="黑体" w:eastAsia="仿宋_GB2312"/>
          <w:sz w:val="32"/>
          <w:szCs w:val="32"/>
        </w:rPr>
      </w:pPr>
      <w:r>
        <w:rPr>
          <w:rFonts w:hint="eastAsia" w:ascii="仿宋_GB2312" w:hAnsi="黑体" w:eastAsia="仿宋_GB2312"/>
          <w:sz w:val="32"/>
          <w:szCs w:val="32"/>
        </w:rPr>
        <w:t>部门预算单位构成</w:t>
      </w:r>
    </w:p>
    <w:p w14:paraId="761E98A1">
      <w:pP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rPr>
        <w:t>沈阳综合保税区桃仙管理委员会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预算公开表</w:t>
      </w:r>
    </w:p>
    <w:p w14:paraId="2E114A3B">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收支总表</w:t>
      </w:r>
    </w:p>
    <w:p w14:paraId="00890237">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单位收入总表</w:t>
      </w:r>
    </w:p>
    <w:p w14:paraId="62C1C1BE">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支出总表</w:t>
      </w:r>
    </w:p>
    <w:p w14:paraId="55BFEC75">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14:paraId="37757307">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14:paraId="615541A3">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14:paraId="287DF895">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14:paraId="2E854B3D">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14:paraId="6E1D4A97">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财政拨款“三公经费”情况对比表</w:t>
      </w:r>
    </w:p>
    <w:p w14:paraId="53AC2906">
      <w:pPr>
        <w:rPr>
          <w:rFonts w:hint="eastAsia" w:ascii="仿宋_GB2312" w:hAnsi="黑体" w:eastAsia="仿宋_GB2312"/>
          <w:sz w:val="32"/>
          <w:szCs w:val="32"/>
        </w:rPr>
      </w:pPr>
      <w:r>
        <w:rPr>
          <w:rFonts w:hint="eastAsia" w:ascii="仿宋_GB2312" w:hAnsi="黑体" w:eastAsia="仿宋_GB2312"/>
          <w:sz w:val="32"/>
          <w:szCs w:val="32"/>
        </w:rPr>
        <w:t xml:space="preserve">表10 </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预算项目支出表</w:t>
      </w:r>
    </w:p>
    <w:p w14:paraId="2F7DB84C">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14:paraId="4C37B057">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14:paraId="608EB0AB">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14:paraId="283A11E8">
      <w:pPr>
        <w:rPr>
          <w:rFonts w:hint="eastAsia" w:ascii="黑体" w:hAnsi="黑体" w:eastAsia="黑体"/>
          <w:sz w:val="32"/>
          <w:szCs w:val="32"/>
        </w:rPr>
      </w:pPr>
    </w:p>
    <w:p w14:paraId="443EC1E5">
      <w:pPr>
        <w:rPr>
          <w:rFonts w:hint="eastAsia" w:ascii="黑体" w:hAnsi="黑体" w:eastAsia="黑体"/>
          <w:sz w:val="32"/>
          <w:szCs w:val="32"/>
        </w:rPr>
      </w:pPr>
    </w:p>
    <w:p w14:paraId="13DDA27C">
      <w:pP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rPr>
        <w:t>沈阳综合保税区桃仙管理委员会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1C1BEB35">
      <w:pPr>
        <w:rPr>
          <w:rFonts w:ascii="宋体" w:hAnsi="宋体"/>
          <w:b/>
          <w:sz w:val="36"/>
          <w:szCs w:val="36"/>
        </w:rPr>
      </w:pPr>
      <w:r>
        <w:rPr>
          <w:rFonts w:hint="eastAsia" w:ascii="黑体" w:hAnsi="黑体" w:eastAsia="黑体"/>
          <w:sz w:val="32"/>
          <w:szCs w:val="32"/>
        </w:rPr>
        <w:t>第四部分    名词解释</w:t>
      </w:r>
    </w:p>
    <w:p w14:paraId="28BD943D">
      <w:pPr>
        <w:jc w:val="center"/>
        <w:rPr>
          <w:rFonts w:ascii="宋体" w:hAnsi="宋体"/>
          <w:b/>
          <w:sz w:val="36"/>
          <w:szCs w:val="36"/>
        </w:rPr>
      </w:pPr>
    </w:p>
    <w:p w14:paraId="3993D834">
      <w:pPr>
        <w:jc w:val="center"/>
        <w:rPr>
          <w:rFonts w:ascii="宋体" w:hAnsi="宋体" w:cs="宋体"/>
          <w:b/>
          <w:sz w:val="36"/>
          <w:szCs w:val="36"/>
        </w:rPr>
      </w:pPr>
      <w:r>
        <w:rPr>
          <w:rFonts w:hint="eastAsia" w:ascii="宋体" w:hAnsi="宋体" w:cs="宋体"/>
          <w:b/>
          <w:sz w:val="36"/>
          <w:szCs w:val="36"/>
        </w:rPr>
        <w:t>第一部分 沈阳综合保税区桃仙管理委员会概况</w:t>
      </w:r>
    </w:p>
    <w:p w14:paraId="768DC288">
      <w:pPr>
        <w:ind w:firstLine="640" w:firstLineChars="200"/>
        <w:jc w:val="left"/>
        <w:rPr>
          <w:rFonts w:ascii="黑体" w:eastAsia="黑体"/>
          <w:sz w:val="32"/>
          <w:szCs w:val="32"/>
        </w:rPr>
      </w:pPr>
    </w:p>
    <w:p w14:paraId="76996462">
      <w:pPr>
        <w:ind w:firstLine="640" w:firstLineChars="200"/>
        <w:jc w:val="left"/>
        <w:rPr>
          <w:rFonts w:ascii="黑体" w:eastAsia="黑体"/>
          <w:sz w:val="32"/>
          <w:szCs w:val="32"/>
        </w:rPr>
      </w:pPr>
      <w:r>
        <w:rPr>
          <w:rFonts w:hint="eastAsia" w:ascii="黑体" w:eastAsia="黑体"/>
          <w:sz w:val="32"/>
          <w:szCs w:val="32"/>
        </w:rPr>
        <w:t>一、主要职责</w:t>
      </w:r>
    </w:p>
    <w:p w14:paraId="1A43F665">
      <w:pPr>
        <w:spacing w:line="600" w:lineRule="exact"/>
        <w:ind w:firstLine="640" w:firstLineChars="200"/>
        <w:rPr>
          <w:rFonts w:ascii="仿宋" w:hAnsi="仿宋" w:eastAsia="仿宋"/>
          <w:bCs/>
          <w:color w:val="000000"/>
          <w:sz w:val="32"/>
          <w:szCs w:val="32"/>
        </w:rPr>
      </w:pPr>
      <w:r>
        <w:rPr>
          <w:rFonts w:hint="eastAsia" w:ascii="仿宋" w:hAnsi="仿宋" w:eastAsia="仿宋"/>
          <w:color w:val="000000"/>
          <w:sz w:val="32"/>
          <w:szCs w:val="32"/>
        </w:rPr>
        <w:t>沈阳综保区桃仙管理委员会主要职责：</w:t>
      </w:r>
    </w:p>
    <w:p w14:paraId="4EC38B34">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管委会文秘、机要、保密、档案、信息、督办、后勤保障</w:t>
      </w:r>
      <w:r>
        <w:rPr>
          <w:rFonts w:hint="eastAsia" w:ascii="仿宋" w:hAnsi="仿宋" w:eastAsia="仿宋"/>
          <w:color w:val="000000"/>
          <w:sz w:val="32"/>
          <w:szCs w:val="32"/>
        </w:rPr>
        <w:t>、组织</w:t>
      </w:r>
      <w:r>
        <w:rPr>
          <w:rFonts w:ascii="仿宋" w:hAnsi="仿宋" w:eastAsia="仿宋"/>
          <w:color w:val="000000"/>
          <w:sz w:val="32"/>
          <w:szCs w:val="32"/>
        </w:rPr>
        <w:t>、</w:t>
      </w:r>
      <w:r>
        <w:rPr>
          <w:rFonts w:hint="eastAsia" w:ascii="仿宋" w:hAnsi="仿宋" w:eastAsia="仿宋"/>
          <w:color w:val="000000"/>
          <w:sz w:val="32"/>
          <w:szCs w:val="32"/>
        </w:rPr>
        <w:t>人事</w:t>
      </w:r>
      <w:r>
        <w:rPr>
          <w:rFonts w:ascii="仿宋" w:hAnsi="仿宋" w:eastAsia="仿宋"/>
          <w:color w:val="000000"/>
          <w:sz w:val="32"/>
          <w:szCs w:val="32"/>
        </w:rPr>
        <w:t>、</w:t>
      </w:r>
      <w:r>
        <w:rPr>
          <w:rFonts w:hint="eastAsia" w:ascii="仿宋" w:hAnsi="仿宋" w:eastAsia="仿宋"/>
          <w:color w:val="000000"/>
          <w:sz w:val="32"/>
          <w:szCs w:val="32"/>
        </w:rPr>
        <w:t>财务、工资、宣传、外事、</w:t>
      </w:r>
      <w:r>
        <w:rPr>
          <w:rFonts w:ascii="仿宋" w:hAnsi="仿宋" w:eastAsia="仿宋"/>
          <w:color w:val="000000"/>
          <w:sz w:val="32"/>
          <w:szCs w:val="32"/>
        </w:rPr>
        <w:t>外联</w:t>
      </w:r>
      <w:r>
        <w:rPr>
          <w:rFonts w:hint="eastAsia" w:ascii="仿宋" w:hAnsi="仿宋" w:eastAsia="仿宋"/>
          <w:color w:val="000000"/>
          <w:sz w:val="32"/>
          <w:szCs w:val="32"/>
        </w:rPr>
        <w:t>、党建和群团等</w:t>
      </w:r>
      <w:r>
        <w:rPr>
          <w:rFonts w:ascii="仿宋" w:hAnsi="仿宋" w:eastAsia="仿宋"/>
          <w:color w:val="000000"/>
          <w:sz w:val="32"/>
          <w:szCs w:val="32"/>
        </w:rPr>
        <w:t>工作。</w:t>
      </w:r>
    </w:p>
    <w:p w14:paraId="08124FD5">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负责贯彻落实国家省市有关法律、法规、规章及海关总署有关规定；组织编制和实施综保区产业发展规划、年度计划；负责研究综保区有关政策；负责口岸功能拓展，协调海关、</w:t>
      </w:r>
      <w:r>
        <w:rPr>
          <w:rFonts w:hint="eastAsia" w:ascii="仿宋" w:hAnsi="仿宋" w:eastAsia="仿宋"/>
          <w:sz w:val="32"/>
          <w:szCs w:val="32"/>
        </w:rPr>
        <w:t>税务、商检等部门工作及</w:t>
      </w:r>
      <w:r>
        <w:rPr>
          <w:rFonts w:hint="eastAsia" w:ascii="仿宋" w:hAnsi="仿宋" w:eastAsia="仿宋"/>
          <w:color w:val="000000"/>
          <w:sz w:val="32"/>
          <w:szCs w:val="32"/>
        </w:rPr>
        <w:t>单位业务创新、政策落地工作；负责入区项目的立项、报批服务工作；负责综保区统计工作。</w:t>
      </w:r>
    </w:p>
    <w:p w14:paraId="064B746D">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负责招商引资和项目引进工作；负责制定招商引资扶持奖励政策；负责投资环境、优惠政策等宣传。</w:t>
      </w:r>
    </w:p>
    <w:p w14:paraId="7A522058">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负责国际化营商环境建设工作；负责企业日常服务工作；负责协调海关，推进通关及贸易便利化工作；负责综保区历史遗留问题协调解决。</w:t>
      </w:r>
    </w:p>
    <w:p w14:paraId="7A439BEF">
      <w:pPr>
        <w:ind w:firstLine="640" w:firstLineChars="200"/>
        <w:jc w:val="left"/>
        <w:rPr>
          <w:rFonts w:ascii="仿宋" w:hAnsi="仿宋" w:eastAsia="仿宋" w:cs="仿宋"/>
          <w:sz w:val="32"/>
          <w:szCs w:val="32"/>
        </w:rPr>
      </w:pPr>
      <w:r>
        <w:rPr>
          <w:rFonts w:hint="eastAsia" w:ascii="仿宋" w:hAnsi="仿宋" w:eastAsia="仿宋" w:cs="仿宋"/>
          <w:sz w:val="32"/>
          <w:szCs w:val="32"/>
        </w:rPr>
        <w:t>负责综保区信息化建设和管理工作；负责网络安全、技术服务咨询等工作；负责跨境电商综合服务平台建设、维护和管理工作。</w:t>
      </w:r>
    </w:p>
    <w:p w14:paraId="09DC1631">
      <w:pPr>
        <w:ind w:firstLine="640" w:firstLineChars="200"/>
        <w:jc w:val="left"/>
        <w:rPr>
          <w:rFonts w:ascii="黑体" w:eastAsia="黑体"/>
          <w:sz w:val="32"/>
          <w:szCs w:val="32"/>
        </w:rPr>
      </w:pPr>
      <w:r>
        <w:rPr>
          <w:rFonts w:hint="eastAsia" w:ascii="黑体" w:eastAsia="黑体"/>
          <w:sz w:val="32"/>
          <w:szCs w:val="32"/>
        </w:rPr>
        <w:t>二、部门预算单位构成</w:t>
      </w:r>
    </w:p>
    <w:p w14:paraId="1466D7FE">
      <w:pPr>
        <w:ind w:firstLine="640" w:firstLineChars="200"/>
        <w:jc w:val="left"/>
        <w:rPr>
          <w:rFonts w:ascii="仿宋_GB2312" w:eastAsia="仿宋_GB2312"/>
          <w:b/>
          <w:sz w:val="32"/>
          <w:szCs w:val="32"/>
        </w:rPr>
      </w:pPr>
      <w:r>
        <w:rPr>
          <w:rFonts w:hint="eastAsia" w:ascii="仿宋_GB2312" w:eastAsia="仿宋_GB2312"/>
          <w:bCs/>
          <w:sz w:val="32"/>
          <w:szCs w:val="32"/>
        </w:rPr>
        <w:t>202</w:t>
      </w:r>
      <w:r>
        <w:rPr>
          <w:rFonts w:hint="eastAsia" w:ascii="仿宋_GB2312" w:eastAsia="仿宋_GB2312"/>
          <w:bCs/>
          <w:sz w:val="32"/>
          <w:szCs w:val="32"/>
          <w:lang w:val="en-US" w:eastAsia="zh-CN"/>
        </w:rPr>
        <w:t>4</w:t>
      </w:r>
      <w:r>
        <w:rPr>
          <w:rFonts w:hint="eastAsia" w:ascii="仿宋_GB2312" w:eastAsia="仿宋_GB2312"/>
          <w:bCs/>
          <w:sz w:val="32"/>
          <w:szCs w:val="32"/>
        </w:rPr>
        <w:t>年部门预算编制的预算单位为沈阳综合保税区桃仙管理委员会。</w:t>
      </w:r>
    </w:p>
    <w:p w14:paraId="68785241">
      <w:pPr>
        <w:ind w:left="1260"/>
        <w:jc w:val="left"/>
        <w:rPr>
          <w:rFonts w:ascii="仿宋_GB2312" w:eastAsia="仿宋_GB2312"/>
          <w:sz w:val="32"/>
          <w:szCs w:val="32"/>
        </w:rPr>
      </w:pPr>
    </w:p>
    <w:p w14:paraId="6E2A7F1E">
      <w:pPr>
        <w:ind w:firstLine="705" w:firstLineChars="196"/>
        <w:rPr>
          <w:rFonts w:ascii="宋体" w:hAnsi="宋体"/>
          <w:sz w:val="36"/>
          <w:szCs w:val="36"/>
        </w:rPr>
      </w:pPr>
    </w:p>
    <w:p w14:paraId="3EE9446A">
      <w:pPr>
        <w:jc w:val="center"/>
        <w:rPr>
          <w:rFonts w:ascii="宋体" w:hAnsi="宋体"/>
          <w:b/>
          <w:sz w:val="36"/>
          <w:szCs w:val="36"/>
        </w:rPr>
      </w:pPr>
    </w:p>
    <w:p w14:paraId="5A0789B3">
      <w:pPr>
        <w:jc w:val="center"/>
        <w:rPr>
          <w:rFonts w:ascii="宋体" w:hAnsi="宋体"/>
          <w:b/>
          <w:sz w:val="36"/>
          <w:szCs w:val="36"/>
        </w:rPr>
      </w:pPr>
    </w:p>
    <w:p w14:paraId="5BD5287F">
      <w:pPr>
        <w:rPr>
          <w:rFonts w:ascii="宋体" w:hAnsi="宋体"/>
          <w:b/>
          <w:sz w:val="36"/>
          <w:szCs w:val="36"/>
        </w:rPr>
      </w:pPr>
    </w:p>
    <w:p w14:paraId="3F95D417">
      <w:pPr>
        <w:numPr>
          <w:ilvl w:val="0"/>
          <w:numId w:val="2"/>
        </w:numPr>
        <w:jc w:val="center"/>
        <w:rPr>
          <w:rFonts w:ascii="宋体" w:hAnsi="宋体" w:cs="宋体"/>
          <w:b/>
          <w:bCs/>
          <w:sz w:val="36"/>
          <w:szCs w:val="36"/>
        </w:rPr>
      </w:pPr>
      <w:r>
        <w:rPr>
          <w:rFonts w:hint="eastAsia" w:ascii="宋体" w:hAnsi="宋体" w:cs="宋体"/>
          <w:b/>
          <w:bCs/>
          <w:sz w:val="36"/>
          <w:szCs w:val="36"/>
        </w:rPr>
        <w:t>沈阳综合保税区桃仙管理委员会</w:t>
      </w:r>
    </w:p>
    <w:p w14:paraId="148A51D4">
      <w:pPr>
        <w:rPr>
          <w:rFonts w:ascii="黑体" w:hAnsi="黑体" w:eastAsia="黑体" w:cs="黑体"/>
          <w:bCs/>
          <w:sz w:val="32"/>
          <w:szCs w:val="32"/>
        </w:rPr>
      </w:pPr>
      <w:r>
        <w:rPr>
          <w:rFonts w:hint="eastAsia" w:ascii="宋体" w:hAnsi="宋体" w:cs="宋体"/>
          <w:b/>
          <w:bCs/>
          <w:sz w:val="36"/>
          <w:szCs w:val="36"/>
        </w:rPr>
        <w:t>202</w:t>
      </w:r>
      <w:r>
        <w:rPr>
          <w:rFonts w:hint="eastAsia" w:ascii="宋体" w:hAnsi="宋体" w:cs="宋体"/>
          <w:b/>
          <w:bCs/>
          <w:sz w:val="36"/>
          <w:szCs w:val="36"/>
          <w:lang w:val="en-US" w:eastAsia="zh-CN"/>
        </w:rPr>
        <w:t>4</w:t>
      </w:r>
      <w:r>
        <w:rPr>
          <w:rFonts w:hint="eastAsia" w:ascii="宋体" w:hAnsi="宋体" w:cs="宋体"/>
          <w:b/>
          <w:bCs/>
          <w:sz w:val="36"/>
          <w:szCs w:val="36"/>
        </w:rPr>
        <w:t>年</w:t>
      </w:r>
      <w:r>
        <w:rPr>
          <w:rFonts w:hint="eastAsia" w:ascii="宋体" w:hAnsi="宋体" w:cs="宋体"/>
          <w:b/>
          <w:bCs/>
          <w:sz w:val="36"/>
          <w:szCs w:val="36"/>
          <w:lang w:eastAsia="zh-CN"/>
        </w:rPr>
        <w:t>单位</w:t>
      </w:r>
      <w:r>
        <w:rPr>
          <w:rFonts w:hint="eastAsia" w:ascii="宋体" w:hAnsi="宋体" w:cs="宋体"/>
          <w:b/>
          <w:bCs/>
          <w:sz w:val="36"/>
          <w:szCs w:val="36"/>
        </w:rPr>
        <w:t>预算公开表</w:t>
      </w:r>
    </w:p>
    <w:p w14:paraId="0E1E1790">
      <w:pPr>
        <w:rPr>
          <w:rFonts w:ascii="仿宋" w:hAnsi="仿宋" w:eastAsia="仿宋" w:cs="仿宋"/>
          <w:bCs/>
          <w:sz w:val="32"/>
          <w:szCs w:val="32"/>
        </w:rPr>
      </w:pPr>
      <w:r>
        <w:rPr>
          <w:rFonts w:hint="eastAsia" w:ascii="仿宋" w:hAnsi="仿宋" w:eastAsia="仿宋" w:cs="仿宋"/>
          <w:bCs/>
          <w:sz w:val="32"/>
          <w:szCs w:val="32"/>
        </w:rPr>
        <w:t>附：电子版</w:t>
      </w:r>
    </w:p>
    <w:p w14:paraId="739E85C5">
      <w:pPr>
        <w:rPr>
          <w:rFonts w:ascii="宋体" w:hAnsi="宋体"/>
          <w:b/>
          <w:sz w:val="36"/>
          <w:szCs w:val="36"/>
        </w:rPr>
      </w:pPr>
    </w:p>
    <w:p w14:paraId="6C02D901">
      <w:pPr>
        <w:rPr>
          <w:rFonts w:ascii="宋体" w:hAnsi="宋体"/>
          <w:b/>
          <w:sz w:val="36"/>
          <w:szCs w:val="36"/>
        </w:rPr>
      </w:pPr>
    </w:p>
    <w:p w14:paraId="16FCB1A2">
      <w:pPr>
        <w:rPr>
          <w:rFonts w:ascii="宋体" w:hAnsi="宋体"/>
          <w:b/>
          <w:sz w:val="36"/>
          <w:szCs w:val="36"/>
        </w:rPr>
      </w:pPr>
    </w:p>
    <w:p w14:paraId="2903A790">
      <w:pPr>
        <w:rPr>
          <w:rFonts w:ascii="宋体" w:hAnsi="宋体"/>
          <w:b/>
          <w:sz w:val="36"/>
          <w:szCs w:val="36"/>
        </w:rPr>
      </w:pPr>
    </w:p>
    <w:p w14:paraId="2E24A673">
      <w:pPr>
        <w:rPr>
          <w:rFonts w:ascii="宋体" w:hAnsi="宋体"/>
          <w:b/>
          <w:sz w:val="36"/>
          <w:szCs w:val="36"/>
        </w:rPr>
      </w:pPr>
    </w:p>
    <w:p w14:paraId="42F7621F">
      <w:pPr>
        <w:rPr>
          <w:rFonts w:ascii="宋体" w:hAnsi="宋体"/>
          <w:b/>
          <w:sz w:val="36"/>
          <w:szCs w:val="36"/>
        </w:rPr>
      </w:pPr>
    </w:p>
    <w:p w14:paraId="4698B547">
      <w:pPr>
        <w:rPr>
          <w:rFonts w:ascii="宋体" w:hAnsi="宋体"/>
          <w:b/>
          <w:sz w:val="36"/>
          <w:szCs w:val="36"/>
        </w:rPr>
      </w:pPr>
    </w:p>
    <w:p w14:paraId="2FA5CDBA">
      <w:pPr>
        <w:rPr>
          <w:rFonts w:ascii="宋体" w:hAnsi="宋体"/>
          <w:b/>
          <w:sz w:val="36"/>
          <w:szCs w:val="36"/>
        </w:rPr>
      </w:pPr>
    </w:p>
    <w:p w14:paraId="62EFE0CF">
      <w:pPr>
        <w:rPr>
          <w:rFonts w:ascii="宋体" w:hAnsi="宋体"/>
          <w:b/>
          <w:sz w:val="36"/>
          <w:szCs w:val="36"/>
        </w:rPr>
      </w:pPr>
    </w:p>
    <w:p w14:paraId="3CFFD8AA">
      <w:pPr>
        <w:rPr>
          <w:rFonts w:ascii="宋体" w:hAnsi="宋体"/>
          <w:b/>
          <w:sz w:val="36"/>
          <w:szCs w:val="36"/>
        </w:rPr>
      </w:pPr>
    </w:p>
    <w:p w14:paraId="73C332B0">
      <w:pPr>
        <w:numPr>
          <w:ilvl w:val="0"/>
          <w:numId w:val="3"/>
        </w:numPr>
        <w:jc w:val="center"/>
        <w:rPr>
          <w:rFonts w:ascii="宋体" w:hAnsi="宋体" w:cs="宋体"/>
          <w:b/>
          <w:sz w:val="36"/>
          <w:szCs w:val="36"/>
        </w:rPr>
      </w:pPr>
      <w:r>
        <w:rPr>
          <w:rFonts w:hint="eastAsia" w:ascii="宋体" w:hAnsi="宋体" w:cs="宋体"/>
          <w:b/>
          <w:sz w:val="36"/>
          <w:szCs w:val="36"/>
        </w:rPr>
        <w:t>沈阳综合保税区桃仙管委会</w:t>
      </w:r>
    </w:p>
    <w:p w14:paraId="51343B4D">
      <w:pPr>
        <w:jc w:val="center"/>
        <w:rPr>
          <w:rFonts w:ascii="宋体" w:hAnsi="宋体" w:cs="宋体"/>
          <w:b/>
          <w:sz w:val="36"/>
          <w:szCs w:val="36"/>
        </w:rPr>
      </w:pPr>
      <w:r>
        <w:rPr>
          <w:rFonts w:hint="eastAsia" w:ascii="宋体" w:hAnsi="宋体" w:cs="宋体"/>
          <w:b/>
          <w:sz w:val="36"/>
          <w:szCs w:val="36"/>
        </w:rPr>
        <w:t>202</w:t>
      </w:r>
      <w:r>
        <w:rPr>
          <w:rFonts w:hint="eastAsia" w:ascii="宋体" w:hAnsi="宋体" w:cs="宋体"/>
          <w:b/>
          <w:sz w:val="36"/>
          <w:szCs w:val="36"/>
          <w:lang w:val="en-US" w:eastAsia="zh-CN"/>
        </w:rPr>
        <w:t>4</w:t>
      </w:r>
      <w:r>
        <w:rPr>
          <w:rFonts w:hint="eastAsia" w:ascii="宋体" w:hAnsi="宋体" w:cs="宋体"/>
          <w:b/>
          <w:sz w:val="36"/>
          <w:szCs w:val="36"/>
        </w:rPr>
        <w:t>年</w:t>
      </w:r>
      <w:r>
        <w:rPr>
          <w:rFonts w:hint="eastAsia" w:ascii="宋体" w:hAnsi="宋体" w:cs="宋体"/>
          <w:b/>
          <w:sz w:val="36"/>
          <w:szCs w:val="36"/>
          <w:lang w:eastAsia="zh-CN"/>
        </w:rPr>
        <w:t>单位</w:t>
      </w:r>
      <w:r>
        <w:rPr>
          <w:rFonts w:hint="eastAsia" w:ascii="宋体" w:hAnsi="宋体" w:cs="宋体"/>
          <w:b/>
          <w:sz w:val="36"/>
          <w:szCs w:val="36"/>
        </w:rPr>
        <w:t>预算情况说明</w:t>
      </w:r>
    </w:p>
    <w:p w14:paraId="3F30E712">
      <w:pPr>
        <w:rPr>
          <w:rFonts w:ascii="宋体" w:hAnsi="宋体"/>
          <w:b/>
          <w:sz w:val="36"/>
          <w:szCs w:val="36"/>
        </w:rPr>
      </w:pPr>
    </w:p>
    <w:p w14:paraId="27249C7B">
      <w:pPr>
        <w:ind w:firstLine="627" w:firstLineChars="196"/>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4</w:t>
      </w:r>
      <w:r>
        <w:rPr>
          <w:rFonts w:hint="eastAsia" w:ascii="黑体" w:hAnsi="黑体" w:eastAsia="黑体"/>
          <w:sz w:val="32"/>
          <w:szCs w:val="32"/>
        </w:rPr>
        <w:t>年收支预算的总体说明</w:t>
      </w:r>
    </w:p>
    <w:p w14:paraId="6F0A856F">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沈阳综保区桃仙管委会所有收入和支出均纳入部门预算管理。收入包括：一般公共预算拨款收入等；支出包括：一般公共服务支出、社会保障和就业支出、卫生健康支出、商业服务业等支出、住房保障支出等。</w:t>
      </w:r>
    </w:p>
    <w:p w14:paraId="192AFEAD">
      <w:pPr>
        <w:ind w:firstLine="66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rPr>
        <w:t>沈阳综保区桃仙管委会收</w:t>
      </w:r>
      <w:r>
        <w:rPr>
          <w:rFonts w:hint="eastAsia" w:ascii="仿宋_GB2312" w:hAnsi="宋体" w:eastAsia="仿宋_GB2312"/>
          <w:color w:val="000000" w:themeColor="text1"/>
          <w:sz w:val="32"/>
          <w:szCs w:val="32"/>
          <w:lang w:eastAsia="zh-CN"/>
        </w:rPr>
        <w:t>支总预算</w:t>
      </w:r>
      <w:r>
        <w:rPr>
          <w:rFonts w:hint="eastAsia" w:ascii="仿宋_GB2312" w:hAnsi="宋体" w:eastAsia="仿宋_GB2312"/>
          <w:color w:val="000000" w:themeColor="text1"/>
          <w:sz w:val="32"/>
          <w:szCs w:val="32"/>
          <w:lang w:val="en-US" w:eastAsia="zh-CN"/>
        </w:rPr>
        <w:t>1626.37</w:t>
      </w:r>
      <w:r>
        <w:rPr>
          <w:rFonts w:hint="eastAsia" w:ascii="仿宋_GB2312" w:hAnsi="宋体" w:eastAsia="仿宋_GB2312"/>
          <w:color w:val="000000" w:themeColor="text1"/>
          <w:sz w:val="32"/>
          <w:szCs w:val="32"/>
          <w:lang w:eastAsia="zh-CN"/>
        </w:rPr>
        <w:t>万元，比上一年度收支总预算</w:t>
      </w:r>
      <w:r>
        <w:rPr>
          <w:rFonts w:hint="eastAsia" w:ascii="仿宋_GB2312" w:hAnsi="宋体" w:eastAsia="仿宋_GB2312"/>
          <w:color w:val="000000" w:themeColor="text1"/>
          <w:sz w:val="32"/>
          <w:szCs w:val="32"/>
          <w:lang w:val="en-US" w:eastAsia="zh-CN"/>
        </w:rPr>
        <w:t>1770.18</w:t>
      </w:r>
      <w:r>
        <w:rPr>
          <w:rFonts w:hint="eastAsia" w:ascii="仿宋_GB2312" w:hAnsi="宋体" w:eastAsia="仿宋_GB2312"/>
          <w:color w:val="000000" w:themeColor="text1"/>
          <w:sz w:val="32"/>
          <w:szCs w:val="32"/>
          <w:lang w:eastAsia="zh-CN"/>
        </w:rPr>
        <w:t>万元减少</w:t>
      </w:r>
      <w:r>
        <w:rPr>
          <w:rFonts w:hint="eastAsia" w:ascii="仿宋_GB2312" w:hAnsi="宋体" w:eastAsia="仿宋_GB2312"/>
          <w:color w:val="000000" w:themeColor="text1"/>
          <w:sz w:val="32"/>
          <w:szCs w:val="32"/>
          <w:lang w:val="en-US" w:eastAsia="zh-CN"/>
        </w:rPr>
        <w:t>143.81万元，主要是由于部分项目支出压减。</w:t>
      </w:r>
    </w:p>
    <w:p w14:paraId="489F0AAE">
      <w:pPr>
        <w:numPr>
          <w:ilvl w:val="0"/>
          <w:numId w:val="0"/>
        </w:numPr>
        <w:ind w:firstLine="640" w:firstLineChars="20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（一）收入预算1626.37万元，其中：一般公共预算拨款收入1626.37万元。</w:t>
      </w:r>
    </w:p>
    <w:p w14:paraId="0A99BC35">
      <w:pPr>
        <w:ind w:firstLine="66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（二）支出预算1626.37万元，其中基本支出710.13万元，项目支出916.24万元。</w:t>
      </w:r>
    </w:p>
    <w:p w14:paraId="36797972">
      <w:pPr>
        <w:ind w:firstLine="660"/>
        <w:rPr>
          <w:rFonts w:hint="eastAsia" w:ascii="仿宋_GB2312" w:hAnsi="宋体" w:eastAsia="仿宋_GB2312"/>
          <w:sz w:val="32"/>
          <w:szCs w:val="32"/>
        </w:rPr>
      </w:pPr>
      <w:r>
        <w:rPr>
          <w:rFonts w:hint="eastAsia" w:ascii="仿宋_GB2312" w:hAnsi="宋体" w:eastAsia="仿宋_GB2312"/>
          <w:color w:val="000000" w:themeColor="text1"/>
          <w:sz w:val="32"/>
          <w:szCs w:val="32"/>
          <w:lang w:val="en-US" w:eastAsia="zh-CN"/>
        </w:rPr>
        <w:t>在支出预算中政府采购支出469万元；政府购买服务支出769.42万元。</w:t>
      </w:r>
    </w:p>
    <w:p w14:paraId="7F484923">
      <w:pPr>
        <w:ind w:firstLine="660"/>
        <w:rPr>
          <w:rFonts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4</w:t>
      </w:r>
      <w:r>
        <w:rPr>
          <w:rFonts w:hint="eastAsia" w:ascii="黑体" w:hAnsi="黑体" w:eastAsia="黑体"/>
          <w:sz w:val="32"/>
          <w:szCs w:val="32"/>
        </w:rPr>
        <w:t>年“三公”经费预算情况说明</w:t>
      </w:r>
    </w:p>
    <w:p w14:paraId="0DD516AA">
      <w:pPr>
        <w:ind w:firstLine="627" w:firstLineChars="196"/>
        <w:rPr>
          <w:rFonts w:ascii="仿宋_GB2312" w:hAnsi="宋体" w:eastAsia="仿宋_GB2312"/>
          <w:sz w:val="32"/>
          <w:szCs w:val="32"/>
        </w:rPr>
      </w:pPr>
      <w:r>
        <w:rPr>
          <w:rFonts w:hint="eastAsia" w:ascii="仿宋_GB2312" w:hAnsi="宋体" w:eastAsia="仿宋_GB2312"/>
          <w:sz w:val="32"/>
        </w:rPr>
        <w:t>202</w:t>
      </w:r>
      <w:r>
        <w:rPr>
          <w:rFonts w:hint="eastAsia" w:ascii="仿宋_GB2312" w:hAnsi="宋体" w:eastAsia="仿宋_GB2312"/>
          <w:sz w:val="32"/>
          <w:lang w:val="en-US" w:eastAsia="zh-CN"/>
        </w:rPr>
        <w:t>4</w:t>
      </w:r>
      <w:r>
        <w:rPr>
          <w:rFonts w:hint="eastAsia" w:ascii="仿宋_GB2312" w:hAnsi="宋体" w:eastAsia="仿宋_GB2312"/>
          <w:sz w:val="32"/>
        </w:rPr>
        <w:t>年“三公”经费预算数0万元，其中：公务接待费0万元；公务用车运行费0万元。202</w:t>
      </w:r>
      <w:r>
        <w:rPr>
          <w:rFonts w:hint="eastAsia" w:ascii="仿宋_GB2312" w:hAnsi="宋体" w:eastAsia="仿宋_GB2312"/>
          <w:sz w:val="32"/>
          <w:lang w:val="en-US" w:eastAsia="zh-CN"/>
        </w:rPr>
        <w:t>4</w:t>
      </w:r>
      <w:r>
        <w:rPr>
          <w:rFonts w:hint="eastAsia" w:ascii="仿宋_GB2312" w:hAnsi="宋体" w:eastAsia="仿宋_GB2312"/>
          <w:sz w:val="32"/>
        </w:rPr>
        <w:t>年预算数比202</w:t>
      </w:r>
      <w:r>
        <w:rPr>
          <w:rFonts w:hint="eastAsia" w:ascii="仿宋_GB2312" w:hAnsi="宋体" w:eastAsia="仿宋_GB2312"/>
          <w:sz w:val="32"/>
          <w:lang w:val="en-US" w:eastAsia="zh-CN"/>
        </w:rPr>
        <w:t>3</w:t>
      </w:r>
      <w:r>
        <w:rPr>
          <w:rFonts w:hint="eastAsia" w:ascii="仿宋_GB2312" w:hAnsi="宋体" w:eastAsia="仿宋_GB2312"/>
          <w:sz w:val="32"/>
        </w:rPr>
        <w:t>年预算数减少0万元，其中：</w:t>
      </w:r>
      <w:r>
        <w:rPr>
          <w:rFonts w:hint="eastAsia" w:ascii="仿宋_GB2312" w:hAnsi="宋体" w:eastAsia="仿宋_GB2312"/>
          <w:sz w:val="32"/>
          <w:szCs w:val="32"/>
        </w:rPr>
        <w:t>公务接待费比202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年预算数减少0万元，主要是由于202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年无公务接待安排。</w:t>
      </w:r>
    </w:p>
    <w:p w14:paraId="63DFA323">
      <w:pPr>
        <w:ind w:firstLine="627" w:firstLineChars="196"/>
        <w:rPr>
          <w:rFonts w:ascii="黑体" w:hAnsi="黑体" w:eastAsia="黑体"/>
          <w:sz w:val="32"/>
          <w:szCs w:val="32"/>
        </w:rPr>
      </w:pPr>
      <w:r>
        <w:rPr>
          <w:rFonts w:hint="eastAsia" w:ascii="黑体" w:hAnsi="黑体" w:eastAsia="黑体"/>
          <w:sz w:val="32"/>
          <w:szCs w:val="32"/>
        </w:rPr>
        <w:t>三、其他重要事项的情况说明</w:t>
      </w:r>
    </w:p>
    <w:p w14:paraId="32AA8239">
      <w:pPr>
        <w:ind w:firstLine="645"/>
        <w:rPr>
          <w:rFonts w:ascii="楷体_GB2312" w:hAnsi="宋体" w:eastAsia="楷体_GB2312"/>
          <w:sz w:val="32"/>
          <w:szCs w:val="32"/>
        </w:rPr>
      </w:pPr>
      <w:r>
        <w:rPr>
          <w:rFonts w:hint="eastAsia" w:ascii="楷体_GB2312" w:hAnsi="宋体" w:eastAsia="楷体_GB2312"/>
          <w:sz w:val="32"/>
          <w:szCs w:val="32"/>
        </w:rPr>
        <w:t>（一）机关运行经费安排情况</w:t>
      </w:r>
    </w:p>
    <w:p w14:paraId="43E66E20">
      <w:pPr>
        <w:ind w:firstLine="645"/>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202</w:t>
      </w:r>
      <w:r>
        <w:rPr>
          <w:rFonts w:hint="eastAsia" w:ascii="仿宋_GB2312" w:hAnsi="宋体" w:eastAsia="仿宋_GB2312"/>
          <w:color w:val="000000" w:themeColor="text1"/>
          <w:sz w:val="32"/>
          <w:szCs w:val="32"/>
          <w:lang w:val="en-US" w:eastAsia="zh-CN"/>
        </w:rPr>
        <w:t>4</w:t>
      </w:r>
      <w:r>
        <w:rPr>
          <w:rFonts w:hint="eastAsia" w:ascii="仿宋_GB2312" w:hAnsi="宋体" w:eastAsia="仿宋_GB2312"/>
          <w:color w:val="000000" w:themeColor="text1"/>
          <w:sz w:val="32"/>
          <w:szCs w:val="32"/>
        </w:rPr>
        <w:t>年沈阳综保区桃仙管委会机关运行经费财政拨款预算</w:t>
      </w:r>
      <w:r>
        <w:rPr>
          <w:rFonts w:hint="eastAsia" w:ascii="仿宋_GB2312" w:hAnsi="宋体" w:eastAsia="仿宋_GB2312"/>
          <w:color w:val="000000" w:themeColor="text1"/>
          <w:sz w:val="32"/>
          <w:szCs w:val="32"/>
          <w:lang w:val="en-US" w:eastAsia="zh-CN"/>
        </w:rPr>
        <w:t>341.31</w:t>
      </w:r>
      <w:r>
        <w:rPr>
          <w:rFonts w:hint="eastAsia" w:ascii="仿宋_GB2312" w:hAnsi="宋体" w:eastAsia="仿宋_GB2312"/>
          <w:color w:val="000000" w:themeColor="text1"/>
          <w:sz w:val="32"/>
          <w:szCs w:val="32"/>
        </w:rPr>
        <w:t>万元，比202</w:t>
      </w:r>
      <w:r>
        <w:rPr>
          <w:rFonts w:hint="eastAsia" w:ascii="仿宋_GB2312" w:hAnsi="宋体" w:eastAsia="仿宋_GB2312"/>
          <w:color w:val="000000" w:themeColor="text1"/>
          <w:sz w:val="32"/>
          <w:szCs w:val="32"/>
          <w:lang w:val="en-US" w:eastAsia="zh-CN"/>
        </w:rPr>
        <w:t>3</w:t>
      </w:r>
      <w:r>
        <w:rPr>
          <w:rFonts w:hint="eastAsia" w:ascii="仿宋_GB2312" w:hAnsi="宋体" w:eastAsia="仿宋_GB2312"/>
          <w:color w:val="000000" w:themeColor="text1"/>
          <w:sz w:val="32"/>
          <w:szCs w:val="32"/>
        </w:rPr>
        <w:t>年预算</w:t>
      </w:r>
      <w:r>
        <w:rPr>
          <w:rFonts w:hint="eastAsia" w:ascii="仿宋_GB2312" w:hAnsi="宋体" w:eastAsia="仿宋_GB2312"/>
          <w:color w:val="000000" w:themeColor="text1"/>
          <w:sz w:val="32"/>
          <w:szCs w:val="32"/>
          <w:lang w:eastAsia="zh-CN"/>
        </w:rPr>
        <w:t>减少</w:t>
      </w:r>
      <w:r>
        <w:rPr>
          <w:rFonts w:hint="eastAsia" w:ascii="仿宋_GB2312" w:hAnsi="宋体" w:eastAsia="仿宋_GB2312"/>
          <w:color w:val="000000" w:themeColor="text1"/>
          <w:sz w:val="32"/>
          <w:szCs w:val="32"/>
          <w:lang w:val="en-US" w:eastAsia="zh-CN"/>
        </w:rPr>
        <w:t>151.77</w:t>
      </w:r>
      <w:r>
        <w:rPr>
          <w:rFonts w:hint="eastAsia" w:ascii="仿宋_GB2312" w:hAnsi="宋体" w:eastAsia="仿宋_GB2312"/>
          <w:color w:val="000000" w:themeColor="text1"/>
          <w:sz w:val="32"/>
          <w:szCs w:val="32"/>
        </w:rPr>
        <w:t>万元，主要是202</w:t>
      </w:r>
      <w:r>
        <w:rPr>
          <w:rFonts w:hint="eastAsia" w:ascii="仿宋_GB2312" w:hAnsi="宋体" w:eastAsia="仿宋_GB2312"/>
          <w:color w:val="000000" w:themeColor="text1"/>
          <w:sz w:val="32"/>
          <w:szCs w:val="32"/>
          <w:lang w:val="en-US" w:eastAsia="zh-CN"/>
        </w:rPr>
        <w:t>4</w:t>
      </w:r>
      <w:r>
        <w:rPr>
          <w:rFonts w:hint="eastAsia" w:ascii="仿宋_GB2312" w:hAnsi="宋体" w:eastAsia="仿宋_GB2312"/>
          <w:color w:val="000000" w:themeColor="text1"/>
          <w:sz w:val="32"/>
          <w:szCs w:val="32"/>
        </w:rPr>
        <w:t>年管委会</w:t>
      </w:r>
      <w:r>
        <w:rPr>
          <w:rFonts w:hint="eastAsia" w:ascii="仿宋_GB2312" w:hAnsi="宋体" w:eastAsia="仿宋_GB2312"/>
          <w:color w:val="000000" w:themeColor="text1"/>
          <w:sz w:val="32"/>
          <w:szCs w:val="32"/>
          <w:lang w:eastAsia="zh-CN"/>
        </w:rPr>
        <w:t>在压减非刚性非急需等支出</w:t>
      </w:r>
      <w:r>
        <w:rPr>
          <w:rFonts w:hint="eastAsia" w:ascii="仿宋_GB2312" w:hAnsi="宋体" w:eastAsia="仿宋_GB2312"/>
          <w:color w:val="000000" w:themeColor="text1"/>
          <w:sz w:val="32"/>
          <w:szCs w:val="32"/>
        </w:rPr>
        <w:t>。</w:t>
      </w:r>
    </w:p>
    <w:p w14:paraId="2B88E09E">
      <w:pPr>
        <w:ind w:firstLine="645"/>
        <w:rPr>
          <w:rFonts w:ascii="仿宋_GB2312" w:hAnsi="宋体" w:eastAsia="仿宋_GB2312"/>
          <w:sz w:val="32"/>
          <w:szCs w:val="32"/>
        </w:rPr>
      </w:pPr>
      <w:bookmarkStart w:id="0" w:name="_GoBack"/>
      <w:bookmarkEnd w:id="0"/>
      <w:r>
        <w:rPr>
          <w:rFonts w:hint="eastAsia" w:ascii="楷体_GB2312" w:hAnsi="宋体" w:eastAsia="楷体_GB2312"/>
          <w:sz w:val="32"/>
          <w:szCs w:val="32"/>
        </w:rPr>
        <w:t>（二）政府采购预算安排情况</w:t>
      </w:r>
    </w:p>
    <w:p w14:paraId="30DA2431">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年沈阳综保区桃仙管委会采购预算总额</w:t>
      </w:r>
      <w:r>
        <w:rPr>
          <w:rFonts w:hint="eastAsia" w:ascii="仿宋_GB2312" w:hAnsi="宋体" w:eastAsia="仿宋_GB2312"/>
          <w:sz w:val="32"/>
          <w:szCs w:val="32"/>
          <w:lang w:val="en-US" w:eastAsia="zh-CN"/>
        </w:rPr>
        <w:t>469</w:t>
      </w:r>
      <w:r>
        <w:rPr>
          <w:rFonts w:hint="eastAsia" w:ascii="仿宋_GB2312" w:hAnsi="宋体" w:eastAsia="仿宋_GB2312"/>
          <w:sz w:val="32"/>
          <w:szCs w:val="32"/>
        </w:rPr>
        <w:t>万元，其中：政府采购货物预算0万元、政府采购工程预算0万元、政府采购服务预算</w:t>
      </w:r>
      <w:r>
        <w:rPr>
          <w:rFonts w:hint="eastAsia" w:ascii="仿宋_GB2312" w:hAnsi="宋体" w:eastAsia="仿宋_GB2312"/>
          <w:sz w:val="32"/>
          <w:szCs w:val="32"/>
          <w:lang w:val="en-US" w:eastAsia="zh-CN"/>
        </w:rPr>
        <w:t>469</w:t>
      </w:r>
      <w:r>
        <w:rPr>
          <w:rFonts w:hint="eastAsia" w:ascii="仿宋_GB2312" w:hAnsi="宋体" w:eastAsia="仿宋_GB2312"/>
          <w:sz w:val="32"/>
          <w:szCs w:val="32"/>
        </w:rPr>
        <w:t>万元。</w:t>
      </w:r>
    </w:p>
    <w:p w14:paraId="755711A0">
      <w:pPr>
        <w:ind w:firstLine="645"/>
        <w:rPr>
          <w:rFonts w:ascii="仿宋_GB2312" w:hAnsi="宋体" w:eastAsia="仿宋_GB2312"/>
          <w:sz w:val="32"/>
          <w:szCs w:val="32"/>
        </w:rPr>
      </w:pPr>
      <w:r>
        <w:rPr>
          <w:rFonts w:hint="eastAsia" w:ascii="楷体_GB2312" w:hAnsi="宋体" w:eastAsia="楷体_GB2312"/>
          <w:sz w:val="32"/>
          <w:szCs w:val="32"/>
        </w:rPr>
        <w:t>（三）国有资产占有使用情况</w:t>
      </w:r>
    </w:p>
    <w:p w14:paraId="436A8492">
      <w:pPr>
        <w:ind w:firstLine="645"/>
        <w:rPr>
          <w:rFonts w:ascii="仿宋_GB2312" w:hAnsi="宋体" w:eastAsia="仿宋_GB2312"/>
          <w:sz w:val="32"/>
          <w:szCs w:val="32"/>
        </w:rPr>
      </w:pPr>
      <w:r>
        <w:rPr>
          <w:rFonts w:hint="eastAsia" w:ascii="仿宋_GB2312" w:hAnsi="宋体" w:eastAsia="仿宋_GB2312"/>
          <w:sz w:val="32"/>
          <w:szCs w:val="32"/>
        </w:rPr>
        <w:t>截至202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年12月31日，沈阳综保区桃仙管委会共有车辆0辆，其中：省部级领导干部用车0辆、一般公务用车0辆、一般执法执勤用车0辆、特种专业技术用车0辆、其他用车0辆。单位价值200 万元以上大型设备0台（套）。</w:t>
      </w:r>
    </w:p>
    <w:p w14:paraId="7AA6150F">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年部门预算安排购置车辆0台，安排单位价值200 万元以上大型设备0台。</w:t>
      </w:r>
    </w:p>
    <w:p w14:paraId="34160522">
      <w:pPr>
        <w:ind w:firstLine="645"/>
        <w:rPr>
          <w:rFonts w:ascii="仿宋_GB2312" w:hAnsi="宋体" w:eastAsia="仿宋_GB2312"/>
          <w:sz w:val="32"/>
          <w:szCs w:val="32"/>
        </w:rPr>
      </w:pPr>
      <w:r>
        <w:rPr>
          <w:rFonts w:hint="eastAsia" w:ascii="楷体_GB2312" w:hAnsi="宋体" w:eastAsia="楷体_GB2312"/>
          <w:sz w:val="32"/>
          <w:szCs w:val="32"/>
        </w:rPr>
        <w:t>（四）绩效目标设置情况</w:t>
      </w:r>
    </w:p>
    <w:p w14:paraId="375137E9">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年沈阳综保区桃仙管委会所有部门预算项目均实行绩效目标管理，涉及资金</w:t>
      </w:r>
      <w:r>
        <w:rPr>
          <w:rFonts w:hint="eastAsia" w:ascii="仿宋_GB2312" w:hAnsi="宋体" w:eastAsia="仿宋_GB2312"/>
          <w:sz w:val="32"/>
          <w:szCs w:val="32"/>
          <w:lang w:val="en-US" w:eastAsia="zh-CN"/>
        </w:rPr>
        <w:t>1,626.37</w:t>
      </w:r>
      <w:r>
        <w:rPr>
          <w:rFonts w:hint="eastAsia" w:ascii="仿宋_GB2312" w:hAnsi="宋体" w:eastAsia="仿宋_GB2312"/>
          <w:sz w:val="32"/>
          <w:szCs w:val="32"/>
        </w:rPr>
        <w:t>万元。</w:t>
      </w:r>
    </w:p>
    <w:p w14:paraId="6F5E8ADB">
      <w:pPr>
        <w:rPr>
          <w:rFonts w:ascii="宋体" w:hAnsi="宋体"/>
          <w:b/>
          <w:sz w:val="32"/>
          <w:szCs w:val="32"/>
        </w:rPr>
      </w:pPr>
    </w:p>
    <w:p w14:paraId="2B110D54">
      <w:pPr>
        <w:jc w:val="center"/>
        <w:rPr>
          <w:rFonts w:ascii="宋体" w:hAnsi="宋体"/>
          <w:b/>
          <w:sz w:val="32"/>
          <w:szCs w:val="32"/>
        </w:rPr>
      </w:pPr>
    </w:p>
    <w:p w14:paraId="1D09E236">
      <w:pPr>
        <w:jc w:val="center"/>
        <w:rPr>
          <w:rFonts w:ascii="宋体" w:hAnsi="宋体"/>
          <w:b/>
          <w:sz w:val="32"/>
          <w:szCs w:val="32"/>
        </w:rPr>
      </w:pPr>
    </w:p>
    <w:p w14:paraId="5E87C051">
      <w:pPr>
        <w:jc w:val="center"/>
        <w:rPr>
          <w:rFonts w:ascii="宋体" w:hAnsi="宋体"/>
          <w:b/>
          <w:sz w:val="32"/>
          <w:szCs w:val="32"/>
        </w:rPr>
      </w:pPr>
    </w:p>
    <w:p w14:paraId="18F397DC">
      <w:pPr>
        <w:jc w:val="center"/>
        <w:rPr>
          <w:rFonts w:ascii="宋体" w:hAnsi="宋体"/>
          <w:b/>
          <w:sz w:val="32"/>
          <w:szCs w:val="32"/>
        </w:rPr>
      </w:pPr>
    </w:p>
    <w:p w14:paraId="570F44F1">
      <w:pPr>
        <w:jc w:val="center"/>
        <w:rPr>
          <w:rFonts w:ascii="宋体" w:hAnsi="宋体"/>
          <w:b/>
          <w:sz w:val="32"/>
          <w:szCs w:val="32"/>
        </w:rPr>
      </w:pPr>
    </w:p>
    <w:p w14:paraId="2515F4BF">
      <w:pPr>
        <w:jc w:val="center"/>
        <w:rPr>
          <w:rFonts w:ascii="宋体" w:hAnsi="宋体"/>
          <w:b/>
          <w:sz w:val="32"/>
          <w:szCs w:val="32"/>
        </w:rPr>
      </w:pPr>
    </w:p>
    <w:p w14:paraId="0BB4E2A2">
      <w:pPr>
        <w:jc w:val="center"/>
        <w:rPr>
          <w:rFonts w:ascii="宋体" w:hAnsi="宋体"/>
          <w:b/>
          <w:sz w:val="32"/>
          <w:szCs w:val="32"/>
        </w:rPr>
      </w:pPr>
    </w:p>
    <w:p w14:paraId="69857368">
      <w:pPr>
        <w:jc w:val="center"/>
        <w:rPr>
          <w:rFonts w:ascii="宋体" w:hAnsi="宋体"/>
          <w:b/>
          <w:sz w:val="32"/>
          <w:szCs w:val="32"/>
        </w:rPr>
      </w:pPr>
    </w:p>
    <w:p w14:paraId="55290721">
      <w:pPr>
        <w:rPr>
          <w:rFonts w:ascii="宋体" w:hAnsi="宋体"/>
          <w:b/>
          <w:sz w:val="32"/>
          <w:szCs w:val="32"/>
        </w:rPr>
      </w:pPr>
    </w:p>
    <w:p w14:paraId="2F4E248D">
      <w:pPr>
        <w:rPr>
          <w:rFonts w:ascii="宋体" w:hAnsi="宋体"/>
          <w:b/>
          <w:sz w:val="32"/>
          <w:szCs w:val="32"/>
        </w:rPr>
      </w:pPr>
    </w:p>
    <w:p w14:paraId="070DE4E8">
      <w:pPr>
        <w:jc w:val="center"/>
        <w:rPr>
          <w:rFonts w:hint="eastAsia" w:ascii="黑体" w:hAnsi="黑体" w:eastAsia="黑体" w:cs="黑体"/>
          <w:bCs/>
          <w:sz w:val="32"/>
          <w:szCs w:val="32"/>
        </w:rPr>
      </w:pPr>
    </w:p>
    <w:p w14:paraId="797D40FF">
      <w:pPr>
        <w:jc w:val="center"/>
        <w:rPr>
          <w:rFonts w:ascii="黑体" w:hAnsi="黑体" w:eastAsia="黑体" w:cs="黑体"/>
          <w:bCs/>
          <w:sz w:val="32"/>
          <w:szCs w:val="32"/>
        </w:rPr>
      </w:pPr>
      <w:r>
        <w:rPr>
          <w:rFonts w:hint="eastAsia" w:ascii="黑体" w:hAnsi="黑体" w:eastAsia="黑体" w:cs="黑体"/>
          <w:bCs/>
          <w:sz w:val="32"/>
          <w:szCs w:val="32"/>
        </w:rPr>
        <w:t>第四部分 名词解释</w:t>
      </w:r>
    </w:p>
    <w:p w14:paraId="58A04AA8">
      <w:pPr>
        <w:jc w:val="center"/>
        <w:rPr>
          <w:rFonts w:ascii="黑体" w:eastAsia="黑体"/>
          <w:sz w:val="32"/>
          <w:szCs w:val="32"/>
        </w:rPr>
      </w:pPr>
    </w:p>
    <w:p w14:paraId="572EF7E6">
      <w:pPr>
        <w:pStyle w:val="2"/>
        <w:spacing w:line="240" w:lineRule="auto"/>
        <w:ind w:firstLine="643" w:firstLineChars="200"/>
        <w:rPr>
          <w:szCs w:val="32"/>
        </w:rPr>
      </w:pPr>
      <w:r>
        <w:rPr>
          <w:rFonts w:hint="eastAsia"/>
          <w:b/>
          <w:szCs w:val="32"/>
        </w:rPr>
        <w:t>1.财政拨款收</w:t>
      </w:r>
      <w:r>
        <w:rPr>
          <w:rFonts w:hint="eastAsia"/>
          <w:szCs w:val="32"/>
        </w:rPr>
        <w:t>入：指区级财政当年拨付的资金。</w:t>
      </w:r>
    </w:p>
    <w:p w14:paraId="24AB9B2D">
      <w:pPr>
        <w:pStyle w:val="2"/>
        <w:spacing w:line="240" w:lineRule="auto"/>
        <w:ind w:firstLine="643" w:firstLineChars="200"/>
        <w:rPr>
          <w:szCs w:val="32"/>
        </w:rPr>
      </w:pPr>
      <w:r>
        <w:rPr>
          <w:rFonts w:hint="eastAsia"/>
          <w:b/>
          <w:szCs w:val="32"/>
        </w:rPr>
        <w:t>2.基本支出：</w:t>
      </w:r>
      <w:r>
        <w:rPr>
          <w:rFonts w:hint="eastAsia"/>
          <w:szCs w:val="32"/>
        </w:rPr>
        <w:t>指保障机构正常运转、完成日常工作任务而发生的人员支出和公用支出。</w:t>
      </w:r>
    </w:p>
    <w:p w14:paraId="600F2F23">
      <w:pPr>
        <w:pStyle w:val="2"/>
        <w:spacing w:line="240" w:lineRule="auto"/>
        <w:ind w:firstLine="643" w:firstLineChars="200"/>
        <w:rPr>
          <w:szCs w:val="32"/>
        </w:rPr>
      </w:pPr>
      <w:r>
        <w:rPr>
          <w:rFonts w:hint="eastAsia"/>
          <w:b/>
          <w:szCs w:val="32"/>
        </w:rPr>
        <w:t>3.项目支出：</w:t>
      </w:r>
      <w:r>
        <w:rPr>
          <w:rFonts w:hint="eastAsia"/>
          <w:szCs w:val="32"/>
        </w:rPr>
        <w:t>指在基本支出之外为完成特定行政任务和事业发展目标所发生的支出。</w:t>
      </w:r>
    </w:p>
    <w:p w14:paraId="02667FD1">
      <w:pPr>
        <w:pStyle w:val="2"/>
        <w:spacing w:line="240" w:lineRule="auto"/>
        <w:ind w:firstLine="643" w:firstLineChars="200"/>
        <w:rPr>
          <w:szCs w:val="32"/>
        </w:rPr>
      </w:pPr>
      <w:r>
        <w:rPr>
          <w:rFonts w:hint="eastAsia"/>
          <w:b/>
          <w:szCs w:val="32"/>
        </w:rPr>
        <w:t>4.“三公”经费：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14:paraId="6292BEEA">
      <w:pPr>
        <w:pStyle w:val="2"/>
        <w:spacing w:line="240" w:lineRule="auto"/>
        <w:ind w:firstLine="643" w:firstLineChars="200"/>
        <w:rPr>
          <w:b/>
          <w:szCs w:val="32"/>
        </w:rPr>
      </w:pPr>
      <w:r>
        <w:rPr>
          <w:rFonts w:hint="eastAsia"/>
          <w:b/>
          <w:szCs w:val="32"/>
        </w:rPr>
        <w:t>5.一般公共服务支出（类）政府办公厅及相关机构事务（款）事业运行（项）：</w:t>
      </w:r>
      <w:r>
        <w:rPr>
          <w:rFonts w:hint="eastAsia"/>
          <w:bCs/>
          <w:szCs w:val="32"/>
        </w:rPr>
        <w:t>反映事业单位的基本支出。</w:t>
      </w:r>
    </w:p>
    <w:p w14:paraId="4E025D7F">
      <w:pPr>
        <w:pStyle w:val="2"/>
        <w:spacing w:line="240" w:lineRule="auto"/>
        <w:ind w:firstLine="643" w:firstLineChars="200"/>
        <w:rPr>
          <w:b/>
          <w:szCs w:val="32"/>
        </w:rPr>
      </w:pPr>
      <w:r>
        <w:rPr>
          <w:rFonts w:hint="eastAsia"/>
          <w:b/>
          <w:szCs w:val="32"/>
        </w:rPr>
        <w:t>6.一般公共服务支出（类）政府办公厅及相关机构事务（款）其他政府办公厅及相关机构事务（项）：</w:t>
      </w:r>
      <w:r>
        <w:rPr>
          <w:rFonts w:hint="eastAsia"/>
          <w:bCs/>
          <w:szCs w:val="32"/>
        </w:rPr>
        <w:t>反映除上述项目以外的其他政府办公厅及相关机构事务支出。</w:t>
      </w:r>
    </w:p>
    <w:p w14:paraId="0BB0D358">
      <w:pPr>
        <w:pStyle w:val="2"/>
        <w:spacing w:line="240" w:lineRule="auto"/>
        <w:ind w:firstLine="643" w:firstLineChars="200"/>
        <w:rPr>
          <w:szCs w:val="32"/>
        </w:rPr>
      </w:pPr>
      <w:r>
        <w:rPr>
          <w:rFonts w:hint="eastAsia"/>
          <w:b/>
          <w:szCs w:val="32"/>
        </w:rPr>
        <w:t>7.卫生健康支出（类）事业单位医疗（款）事业单位医疗（项）：</w:t>
      </w:r>
      <w:r>
        <w:rPr>
          <w:rFonts w:hint="eastAsia"/>
          <w:szCs w:val="32"/>
        </w:rPr>
        <w:t>反映财政部门安排的事业单位基本医疗保险缴费经费，未参加医疗保险的事业单位的公费医疗经费，按规定享受离休待遇人员的医疗经费。</w:t>
      </w:r>
    </w:p>
    <w:p w14:paraId="4D5B911A">
      <w:pPr>
        <w:pStyle w:val="2"/>
        <w:spacing w:line="240" w:lineRule="auto"/>
        <w:ind w:firstLine="643" w:firstLineChars="200"/>
        <w:rPr>
          <w:szCs w:val="32"/>
        </w:rPr>
      </w:pPr>
      <w:r>
        <w:rPr>
          <w:rFonts w:hint="eastAsia" w:ascii="宋体" w:hAnsi="宋体"/>
          <w:b/>
          <w:szCs w:val="32"/>
        </w:rPr>
        <w:t>13．</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rPr>
        <w:t>养老支出（款）机关事业单位基本养老保险缴费支出</w:t>
      </w:r>
      <w:r>
        <w:rPr>
          <w:rFonts w:hint="eastAsia" w:ascii="宋体" w:hAnsi="宋体"/>
          <w:b/>
          <w:szCs w:val="32"/>
        </w:rPr>
        <w:t>（项）</w:t>
      </w:r>
      <w:r>
        <w:rPr>
          <w:rFonts w:hint="eastAsia" w:ascii="宋体" w:hAnsi="宋体"/>
          <w:szCs w:val="32"/>
        </w:rPr>
        <w:t>：反映机关事业单位实施养老保险制度由单位缴纳的基本养老保险费支出。</w:t>
      </w:r>
    </w:p>
    <w:p w14:paraId="027A9749">
      <w:pPr>
        <w:pStyle w:val="2"/>
        <w:spacing w:line="240" w:lineRule="auto"/>
        <w:ind w:firstLine="643" w:firstLineChars="200"/>
        <w:rPr>
          <w:szCs w:val="32"/>
        </w:rPr>
      </w:pPr>
      <w:r>
        <w:rPr>
          <w:rFonts w:hint="eastAsia"/>
          <w:b/>
          <w:szCs w:val="32"/>
        </w:rPr>
        <w:t>14.住房保障支出（类）住房改革（款）住房公积金（项）：</w:t>
      </w:r>
      <w:r>
        <w:rPr>
          <w:rFonts w:hint="eastAsia"/>
          <w:szCs w:val="32"/>
        </w:rPr>
        <w:t>反映行政事业单位按人力资源和社会保障部、财政部规定的基本工资和津贴补贴以及规定比例为职工缴纳的住房公积金。</w:t>
      </w:r>
    </w:p>
    <w:p w14:paraId="6064B03F">
      <w:pPr>
        <w:pStyle w:val="2"/>
        <w:spacing w:line="240" w:lineRule="auto"/>
        <w:ind w:firstLine="643" w:firstLineChars="200"/>
        <w:rPr>
          <w:b/>
          <w:szCs w:val="32"/>
        </w:rPr>
      </w:pPr>
      <w:r>
        <w:rPr>
          <w:rFonts w:hint="eastAsia"/>
          <w:b/>
          <w:szCs w:val="32"/>
        </w:rPr>
        <w:t>15.商业服务业等支出（类）其他商业服务业等支出（款）其他商业服务业等支出（项）：</w:t>
      </w:r>
      <w:r>
        <w:rPr>
          <w:rFonts w:hint="eastAsia"/>
          <w:bCs/>
          <w:szCs w:val="32"/>
        </w:rPr>
        <w:t>反应商业服务业等方面支出。</w:t>
      </w:r>
    </w:p>
    <w:p w14:paraId="7B7DF4CE">
      <w:pPr>
        <w:ind w:firstLine="643" w:firstLineChars="200"/>
        <w:jc w:val="left"/>
        <w:rPr>
          <w:rFonts w:ascii="仿宋_GB2312" w:eastAsia="仿宋_GB2312"/>
          <w:b/>
          <w:sz w:val="32"/>
          <w:szCs w:val="32"/>
        </w:rPr>
      </w:pPr>
      <w:r>
        <w:rPr>
          <w:rFonts w:hint="eastAsia" w:ascii="仿宋_GB2312" w:eastAsia="仿宋_GB2312"/>
          <w:b/>
          <w:sz w:val="32"/>
          <w:szCs w:val="32"/>
        </w:rPr>
        <w:t>16.机关运行经费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FEAFC8F">
      <w:pPr>
        <w:ind w:firstLine="643" w:firstLineChars="200"/>
        <w:jc w:val="left"/>
        <w:rPr>
          <w:rFonts w:ascii="仿宋_GB2312" w:eastAsia="仿宋_GB2312"/>
          <w:b/>
          <w:sz w:val="32"/>
          <w:szCs w:val="32"/>
        </w:rPr>
      </w:pPr>
    </w:p>
    <w:p w14:paraId="7F7A5A20">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023F6">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629D601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89051"/>
    <w:multiLevelType w:val="singleLevel"/>
    <w:tmpl w:val="C4889051"/>
    <w:lvl w:ilvl="0" w:tentative="0">
      <w:start w:val="3"/>
      <w:numFmt w:val="chineseCounting"/>
      <w:suff w:val="space"/>
      <w:lvlText w:val="第%1部分"/>
      <w:lvlJc w:val="left"/>
      <w:rPr>
        <w:rFonts w:hint="eastAsia"/>
      </w:rPr>
    </w:lvl>
  </w:abstractNum>
  <w:abstractNum w:abstractNumId="1">
    <w:nsid w:val="D704214D"/>
    <w:multiLevelType w:val="singleLevel"/>
    <w:tmpl w:val="D704214D"/>
    <w:lvl w:ilvl="0" w:tentative="0">
      <w:start w:val="2"/>
      <w:numFmt w:val="chineseCounting"/>
      <w:suff w:val="space"/>
      <w:lvlText w:val="第%1部分"/>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Q1YzI4MjQ1ZTVkZWI1NGRmN2MyODY5NzBjNWE4ZDAifQ=="/>
  </w:docVars>
  <w:rsids>
    <w:rsidRoot w:val="258B5F50"/>
    <w:rsid w:val="003708AD"/>
    <w:rsid w:val="00780F9D"/>
    <w:rsid w:val="008B7016"/>
    <w:rsid w:val="00D02DC8"/>
    <w:rsid w:val="00E25C61"/>
    <w:rsid w:val="013F2C34"/>
    <w:rsid w:val="015C7D2F"/>
    <w:rsid w:val="01976746"/>
    <w:rsid w:val="01F003FD"/>
    <w:rsid w:val="02ED67B4"/>
    <w:rsid w:val="041A478F"/>
    <w:rsid w:val="04497BD0"/>
    <w:rsid w:val="04D46D9F"/>
    <w:rsid w:val="085754E3"/>
    <w:rsid w:val="09FE107D"/>
    <w:rsid w:val="0A4707F9"/>
    <w:rsid w:val="0B274F9F"/>
    <w:rsid w:val="0C9D1A87"/>
    <w:rsid w:val="0DE3026C"/>
    <w:rsid w:val="10532861"/>
    <w:rsid w:val="1167458D"/>
    <w:rsid w:val="13BF7CD7"/>
    <w:rsid w:val="142F6684"/>
    <w:rsid w:val="154A23A7"/>
    <w:rsid w:val="19800F87"/>
    <w:rsid w:val="1B2312DE"/>
    <w:rsid w:val="1EBE1777"/>
    <w:rsid w:val="1F794145"/>
    <w:rsid w:val="1F9D71BE"/>
    <w:rsid w:val="229A5C89"/>
    <w:rsid w:val="24063A83"/>
    <w:rsid w:val="250E77B6"/>
    <w:rsid w:val="258B5F50"/>
    <w:rsid w:val="27576AAE"/>
    <w:rsid w:val="28AE6716"/>
    <w:rsid w:val="29524967"/>
    <w:rsid w:val="2D257C58"/>
    <w:rsid w:val="2DBF6D36"/>
    <w:rsid w:val="2EFF2618"/>
    <w:rsid w:val="30A53ACC"/>
    <w:rsid w:val="311653A2"/>
    <w:rsid w:val="32465EFE"/>
    <w:rsid w:val="324B4201"/>
    <w:rsid w:val="37FB444A"/>
    <w:rsid w:val="3A4229C1"/>
    <w:rsid w:val="3A681814"/>
    <w:rsid w:val="3C817CEB"/>
    <w:rsid w:val="3DDC0ACE"/>
    <w:rsid w:val="3EF96837"/>
    <w:rsid w:val="40110E46"/>
    <w:rsid w:val="41A87FFB"/>
    <w:rsid w:val="430F27D4"/>
    <w:rsid w:val="45445708"/>
    <w:rsid w:val="48C575E7"/>
    <w:rsid w:val="4D634B9A"/>
    <w:rsid w:val="4EEB589A"/>
    <w:rsid w:val="50D805C4"/>
    <w:rsid w:val="55882026"/>
    <w:rsid w:val="56AA4D70"/>
    <w:rsid w:val="5710636E"/>
    <w:rsid w:val="57CB2DDE"/>
    <w:rsid w:val="58B50DDB"/>
    <w:rsid w:val="58EE78DD"/>
    <w:rsid w:val="5B7736D6"/>
    <w:rsid w:val="5D3270CE"/>
    <w:rsid w:val="5DE643B5"/>
    <w:rsid w:val="5F381038"/>
    <w:rsid w:val="5FAC12D4"/>
    <w:rsid w:val="60624F02"/>
    <w:rsid w:val="61E645B1"/>
    <w:rsid w:val="62470B01"/>
    <w:rsid w:val="62D94E60"/>
    <w:rsid w:val="64927D5A"/>
    <w:rsid w:val="65A466DA"/>
    <w:rsid w:val="65FC67BC"/>
    <w:rsid w:val="69EE087A"/>
    <w:rsid w:val="6A976E46"/>
    <w:rsid w:val="6B211496"/>
    <w:rsid w:val="6B7A4A6E"/>
    <w:rsid w:val="6ECA6597"/>
    <w:rsid w:val="714114DB"/>
    <w:rsid w:val="71AB0640"/>
    <w:rsid w:val="74167707"/>
    <w:rsid w:val="74F1400C"/>
    <w:rsid w:val="760F153C"/>
    <w:rsid w:val="78A016C4"/>
    <w:rsid w:val="78DD5ABB"/>
    <w:rsid w:val="7C614179"/>
    <w:rsid w:val="7D7649FE"/>
    <w:rsid w:val="7E192895"/>
    <w:rsid w:val="7EDA5B8E"/>
    <w:rsid w:val="7FB2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525"/>
    </w:pPr>
    <w:rPr>
      <w:rFonts w:ascii="仿宋_GB2312" w:eastAsia="仿宋_GB2312"/>
      <w:sz w:val="32"/>
    </w:rPr>
  </w:style>
  <w:style w:type="paragraph" w:styleId="3">
    <w:name w:val="footer"/>
    <w:basedOn w:val="1"/>
    <w:autoRedefine/>
    <w:qFormat/>
    <w:uiPriority w:val="0"/>
    <w:pPr>
      <w:tabs>
        <w:tab w:val="center" w:pos="4153"/>
        <w:tab w:val="right" w:pos="8306"/>
      </w:tabs>
      <w:snapToGrid w:val="0"/>
      <w:jc w:val="left"/>
    </w:pPr>
    <w:rPr>
      <w:sz w:val="18"/>
      <w:szCs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2160</Words>
  <Characters>2262</Characters>
  <Lines>17</Lines>
  <Paragraphs>4</Paragraphs>
  <TotalTime>0</TotalTime>
  <ScaleCrop>false</ScaleCrop>
  <LinksUpToDate>false</LinksUpToDate>
  <CharactersWithSpaces>2308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Administrator</cp:lastModifiedBy>
  <cp:lastPrinted>2021-01-26T07:43:00Z</cp:lastPrinted>
  <dcterms:modified xsi:type="dcterms:W3CDTF">2025-08-20T03:57:59Z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0AE8BF32F6054C4EA9C1746FE8B28C99</vt:lpwstr>
  </property>
  <property fmtid="{D5CDD505-2E9C-101B-9397-08002B2CF9AE}" pid="4" name="KSOTemplateDocerSaveRecord">
    <vt:lpwstr>eyJoZGlkIjoiOWQ1YzI4MjQ1ZTVkZWI1NGRmN2MyODY5NzBjNWE4ZDAifQ==</vt:lpwstr>
  </property>
</Properties>
</file>